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B223" w14:textId="4631A919" w:rsidR="003D6F47" w:rsidRDefault="003D6F47" w:rsidP="003D6F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A30FCB8" wp14:editId="2B9678B4">
            <wp:extent cx="1808481" cy="2743200"/>
            <wp:effectExtent l="0" t="0" r="0" b="0"/>
            <wp:docPr id="1" name="Imagem 1" descr="Placa branca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Placa branca com texto preto sobre fundo branc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394" cy="27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A9580" w14:textId="77777777" w:rsidR="003D6F47" w:rsidRDefault="003D6F47" w:rsidP="004D1E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72B269" w14:textId="77777777" w:rsidR="003D6F47" w:rsidRDefault="003D6F47" w:rsidP="004D1E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1993DC" w14:textId="329A4C6D" w:rsidR="004D1EFA" w:rsidRPr="003D6F47" w:rsidRDefault="004D1EFA" w:rsidP="004D1E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F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Mateus 7:21-27</w:t>
      </w:r>
    </w:p>
    <w:p w14:paraId="684A5276" w14:textId="45BF824A" w:rsidR="004D1EFA" w:rsidRPr="003D6F47" w:rsidRDefault="004D1EFA" w:rsidP="004D1E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6F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 compromisso cristão: uma escolha radical</w:t>
      </w:r>
      <w:r w:rsidR="003D6F47">
        <w:rPr>
          <w:rStyle w:val="Refdenotaderodap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ootnoteReference w:id="1"/>
      </w:r>
    </w:p>
    <w:p w14:paraId="17460522" w14:textId="77777777" w:rsidR="003D6F47" w:rsidRDefault="003D6F47" w:rsidP="004D1EF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3197494" w14:textId="77777777" w:rsidR="003D6F47" w:rsidRDefault="003D6F47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158033C" w14:textId="35BB7074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Se não foi no versículo 13 que Jesus começou a sua conclusão do Sermão do Monte, certamente agora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ele o faz. Neste ponto ele não está preocupado em acrescentar mais instruções, mas deseja assegurar uma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reação adequada à instrução que acaba de dar. </w:t>
      </w:r>
      <w:r w:rsidR="00AC4391">
        <w:rPr>
          <w:rFonts w:ascii="Times New Roman" w:hAnsi="Times New Roman" w:cs="Times New Roman"/>
          <w:color w:val="000000"/>
          <w:lang w:val="x-none"/>
        </w:rPr>
        <w:t>“</w:t>
      </w:r>
      <w:r w:rsidRPr="00AC4391">
        <w:rPr>
          <w:rFonts w:ascii="Times New Roman" w:hAnsi="Times New Roman" w:cs="Times New Roman"/>
          <w:i/>
          <w:iCs/>
          <w:color w:val="000000"/>
        </w:rPr>
        <w:t>O Senhor Jesus finaliza o Sermão do Monte</w:t>
      </w:r>
      <w:r w:rsidR="00AC4391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, escreve J. C.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Ryle, </w:t>
      </w:r>
      <w:r w:rsidR="00AC4391">
        <w:rPr>
          <w:rFonts w:ascii="Times New Roman" w:hAnsi="Times New Roman" w:cs="Times New Roman"/>
          <w:color w:val="000000"/>
          <w:lang w:val="x-none"/>
        </w:rPr>
        <w:t>“</w:t>
      </w:r>
      <w:r w:rsidRPr="00AC4391">
        <w:rPr>
          <w:rFonts w:ascii="Times New Roman" w:hAnsi="Times New Roman" w:cs="Times New Roman"/>
          <w:i/>
          <w:iCs/>
          <w:color w:val="000000"/>
        </w:rPr>
        <w:t>com uma passagem de aplicação penetrante. Ele volta-se dos falsos profetas para os falsos professos,</w:t>
      </w:r>
      <w:r w:rsidRPr="00AC439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C4391">
        <w:rPr>
          <w:rFonts w:ascii="Times New Roman" w:hAnsi="Times New Roman" w:cs="Times New Roman"/>
          <w:i/>
          <w:iCs/>
          <w:color w:val="000000"/>
        </w:rPr>
        <w:t>dos falsos mestres para os falsos ouvintes</w:t>
      </w:r>
      <w:r w:rsidR="00AC4391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.</w:t>
      </w:r>
      <w:r w:rsidR="00AC4391">
        <w:rPr>
          <w:rStyle w:val="Refdenotaderodap"/>
          <w:rFonts w:ascii="Times New Roman" w:hAnsi="Times New Roman" w:cs="Times New Roman"/>
          <w:color w:val="000000"/>
        </w:rPr>
        <w:footnoteReference w:id="2"/>
      </w:r>
      <w:r w:rsidRPr="003D6F47">
        <w:rPr>
          <w:rFonts w:ascii="Times New Roman" w:hAnsi="Times New Roman" w:cs="Times New Roman"/>
          <w:color w:val="000000"/>
        </w:rPr>
        <w:t xml:space="preserve"> R. V. G. </w:t>
      </w:r>
      <w:proofErr w:type="spellStart"/>
      <w:r w:rsidRPr="003D6F47">
        <w:rPr>
          <w:rFonts w:ascii="Times New Roman" w:hAnsi="Times New Roman" w:cs="Times New Roman"/>
          <w:color w:val="000000"/>
        </w:rPr>
        <w:t>Tasker</w:t>
      </w:r>
      <w:proofErr w:type="spellEnd"/>
      <w:r w:rsidRPr="003D6F47">
        <w:rPr>
          <w:rFonts w:ascii="Times New Roman" w:hAnsi="Times New Roman" w:cs="Times New Roman"/>
          <w:color w:val="000000"/>
        </w:rPr>
        <w:t xml:space="preserve"> comenta de maneira semelhante: </w:t>
      </w:r>
      <w:r w:rsidR="00AC4391">
        <w:rPr>
          <w:rFonts w:ascii="Times New Roman" w:hAnsi="Times New Roman" w:cs="Times New Roman"/>
          <w:color w:val="000000"/>
          <w:lang w:val="x-none"/>
        </w:rPr>
        <w:t>“</w:t>
      </w:r>
      <w:r w:rsidRPr="00AC4391">
        <w:rPr>
          <w:rFonts w:ascii="Times New Roman" w:hAnsi="Times New Roman" w:cs="Times New Roman"/>
          <w:i/>
          <w:iCs/>
          <w:color w:val="000000"/>
        </w:rPr>
        <w:t>Entretanto,</w:t>
      </w:r>
      <w:r w:rsidRPr="00AC439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C4391">
        <w:rPr>
          <w:rFonts w:ascii="Times New Roman" w:hAnsi="Times New Roman" w:cs="Times New Roman"/>
          <w:i/>
          <w:iCs/>
          <w:color w:val="000000"/>
        </w:rPr>
        <w:t>não são somente os falsos mestres que tornam o caminho estreito difícil de achar e mais difícil de palmilhar.</w:t>
      </w:r>
      <w:r w:rsidRPr="00AC439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AC4391">
        <w:rPr>
          <w:rFonts w:ascii="Times New Roman" w:hAnsi="Times New Roman" w:cs="Times New Roman"/>
          <w:i/>
          <w:iCs/>
          <w:color w:val="000000"/>
        </w:rPr>
        <w:t>Um homem também pode enganar-se dolorosamente.</w:t>
      </w:r>
      <w:r w:rsidR="00AC4391">
        <w:rPr>
          <w:rFonts w:ascii="Times New Roman" w:hAnsi="Times New Roman" w:cs="Times New Roman"/>
          <w:color w:val="000000"/>
          <w:lang w:val="x-none"/>
        </w:rPr>
        <w:t>”</w:t>
      </w:r>
      <w:r w:rsidR="00AC4391">
        <w:rPr>
          <w:rStyle w:val="Refdenotaderodap"/>
          <w:rFonts w:ascii="Times New Roman" w:hAnsi="Times New Roman" w:cs="Times New Roman"/>
          <w:color w:val="000000"/>
        </w:rPr>
        <w:footnoteReference w:id="3"/>
      </w:r>
    </w:p>
    <w:p w14:paraId="600289B8" w14:textId="77777777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E9A7C3C" w14:textId="50B2D96A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Por isso, Jesus nos leva a um confronto próprio, colocando diante de nós a escolha radical entre a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obediência e a desobediência, e nos convoca a um compromisso incondicional da mente, da vontade e da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vida com os seus ensinamentos. Ele nos adverte quanto a duas alternativas inaceitáveis: a profissão de fé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meramente verbal (vs. 21-23) e o conhecimento meramente intelectual (vs. 24-27). Nenhum dos dois pode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substituir a obediência; na verdade, ambos constituem um disfarce da desobediência. Jesus enfatiza com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grande solenidade que o nosso destino eterno depende de uma obediência total.</w:t>
      </w:r>
    </w:p>
    <w:p w14:paraId="784BA786" w14:textId="77777777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DE6AD1A" w14:textId="7BEAEFDC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No que se refere a isso, os dois parágrafos finais do Sermão são muito parecidos. Ambos contrastam as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reações certa e errada aos ensinamentos de Cristo. Ambos indicam que a neutralidade é impossível e que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uma decisão definida tem de ser tomada. Ambos destacam que nada pode substituir a obediência ativa e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prática. E ambos ensinam que a questão da vida e da morte no dia do juízo será determinada pela nossa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reação moral a </w:t>
      </w:r>
      <w:r w:rsidRPr="003D6F47">
        <w:rPr>
          <w:rFonts w:ascii="Times New Roman" w:hAnsi="Times New Roman" w:cs="Times New Roman"/>
          <w:color w:val="000000"/>
        </w:rPr>
        <w:lastRenderedPageBreak/>
        <w:t>Cristo e a seus ensinamentos nesta vida. A única diferença entre os parágrafos é que, no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primeiro, se oferece como alternativa para a obediência uma profissão de fé com os lábios, e, no segundo, um</w:t>
      </w:r>
      <w:r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mero ouvir, também como alternativa para a obediência.</w:t>
      </w:r>
    </w:p>
    <w:p w14:paraId="7F00C161" w14:textId="77777777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58B8A02" w14:textId="77777777" w:rsidR="004D1EFA" w:rsidRPr="0055324F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5324F">
        <w:rPr>
          <w:rFonts w:ascii="Times New Roman" w:hAnsi="Times New Roman" w:cs="Times New Roman"/>
          <w:b/>
          <w:bCs/>
          <w:color w:val="000000"/>
        </w:rPr>
        <w:t>1. O perigo de uma profissão de fé simplesmente verbal (vs. 21-23)</w:t>
      </w:r>
    </w:p>
    <w:p w14:paraId="508BC328" w14:textId="77777777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A48245C" w14:textId="27935F81" w:rsidR="004D1EFA" w:rsidRPr="00385F09" w:rsidRDefault="0055324F" w:rsidP="0055324F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5F0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21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Nem todo o que me diz: Senhor, Senhor! entrará no reino dos céus, mas aquele que faz a vontade de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meu Pai que está nos céus.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22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Muitos, naquele dia, hão de dizer-me: Senhor, Senhor! porventura, não temos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nós profetizado em teu nome, e em teu nome não expelimos demônios, e em teu nome não fizemos muitos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milagres?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23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Então lhes direi explicitamente: Nunca vos conheci. Apartai-vos de mim, os que praticais a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82713" w:rsidRPr="00385F09">
        <w:rPr>
          <w:rFonts w:ascii="Times New Roman" w:hAnsi="Times New Roman" w:cs="Times New Roman"/>
          <w:color w:val="000000"/>
          <w:sz w:val="22"/>
          <w:szCs w:val="22"/>
        </w:rPr>
        <w:t>iniquidade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1CA6092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489A1D9" w14:textId="259C92F0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As pessoas que Jesus está descrevendo aqui estão confiando para a sua salvação em uma afirmação do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credo, no que elas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dizem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a Cristo ou a respeito de Cristo.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55324F">
        <w:rPr>
          <w:rFonts w:ascii="Times New Roman" w:hAnsi="Times New Roman" w:cs="Times New Roman"/>
          <w:i/>
          <w:iCs/>
          <w:color w:val="000000"/>
        </w:rPr>
        <w:t>Nem todo o que me diz</w:t>
      </w:r>
      <w:r w:rsidR="0055324F" w:rsidRP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(v. 21).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55324F">
        <w:rPr>
          <w:rFonts w:ascii="Times New Roman" w:hAnsi="Times New Roman" w:cs="Times New Roman"/>
          <w:i/>
          <w:iCs/>
          <w:color w:val="000000"/>
        </w:rPr>
        <w:t>Muitos,</w:t>
      </w:r>
      <w:r w:rsidR="00F82713" w:rsidRPr="0055324F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55324F">
        <w:rPr>
          <w:rFonts w:ascii="Times New Roman" w:hAnsi="Times New Roman" w:cs="Times New Roman"/>
          <w:i/>
          <w:iCs/>
          <w:color w:val="000000"/>
        </w:rPr>
        <w:t>naquele dia, hão de dizer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(v. 22). Mas o nosso </w:t>
      </w:r>
      <w:r w:rsidR="0055324F" w:rsidRPr="003D6F47">
        <w:rPr>
          <w:rFonts w:ascii="Times New Roman" w:hAnsi="Times New Roman" w:cs="Times New Roman"/>
          <w:color w:val="000000"/>
        </w:rPr>
        <w:t>destino</w:t>
      </w:r>
      <w:r w:rsidRPr="003D6F47">
        <w:rPr>
          <w:rFonts w:ascii="Times New Roman" w:hAnsi="Times New Roman" w:cs="Times New Roman"/>
          <w:color w:val="000000"/>
        </w:rPr>
        <w:t xml:space="preserve"> será estabelecido, Jesus insiste, não pelo que lhe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dizemos hoje, nem pelo que lhe diremos no último dia, mas por fazermos o que dizemos, por estar a nossa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profissão verbal acompanhada da obediência moral.</w:t>
      </w:r>
    </w:p>
    <w:p w14:paraId="3A63EABC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A23C00B" w14:textId="1CF66526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Uma profissão verbal de Cristo é indispensável. Para sermos salvos, escreveu Paulo, temos de confessá</w:t>
      </w:r>
      <w:r w:rsidR="00F82713" w:rsidRPr="003D6F47">
        <w:rPr>
          <w:rFonts w:ascii="Times New Roman" w:hAnsi="Times New Roman" w:cs="Times New Roman"/>
          <w:color w:val="000000"/>
        </w:rPr>
        <w:t>-</w:t>
      </w:r>
      <w:r w:rsidRPr="003D6F47">
        <w:rPr>
          <w:rFonts w:ascii="Times New Roman" w:hAnsi="Times New Roman" w:cs="Times New Roman"/>
          <w:color w:val="000000"/>
        </w:rPr>
        <w:t>lo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com nossos lábios e crer em nossos corações</w:t>
      </w:r>
      <w:r w:rsidR="0055324F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55324F">
        <w:rPr>
          <w:rFonts w:ascii="Times New Roman" w:hAnsi="Times New Roman" w:cs="Times New Roman"/>
          <w:color w:val="000000"/>
        </w:rPr>
        <w:t>Rm</w:t>
      </w:r>
      <w:proofErr w:type="spellEnd"/>
      <w:r w:rsidR="0055324F">
        <w:rPr>
          <w:rFonts w:ascii="Times New Roman" w:hAnsi="Times New Roman" w:cs="Times New Roman"/>
          <w:color w:val="000000"/>
        </w:rPr>
        <w:t xml:space="preserve"> 10:9,10)</w:t>
      </w:r>
      <w:r w:rsidRPr="003D6F47">
        <w:rPr>
          <w:rFonts w:ascii="Times New Roman" w:hAnsi="Times New Roman" w:cs="Times New Roman"/>
          <w:color w:val="000000"/>
        </w:rPr>
        <w:t>. E uma verdadeira profissão de fé em Jesus como Senhor é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impossível sem o Espírito Santo</w:t>
      </w:r>
      <w:r w:rsidR="0055324F">
        <w:rPr>
          <w:rFonts w:ascii="Times New Roman" w:hAnsi="Times New Roman" w:cs="Times New Roman"/>
          <w:color w:val="000000"/>
        </w:rPr>
        <w:t xml:space="preserve"> (1Co 12:3)</w:t>
      </w:r>
      <w:r w:rsidRPr="003D6F47">
        <w:rPr>
          <w:rFonts w:ascii="Times New Roman" w:hAnsi="Times New Roman" w:cs="Times New Roman"/>
          <w:color w:val="000000"/>
        </w:rPr>
        <w:t>. Além disso, o tipo de profissão cristã que Jesus descreve no final do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Sermão parece, pelo menos superficialmente, que é totalmente admirável. Começando, é respeitosa; chama-o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de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Senhor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, exatamente como hoje em dia a maneira mais respeitosa e educada de se referir a Jesus ainda é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dizer "nosso Senhor". Depois, a profissão é ortodoxa. Embora chamar Jesus de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Senhor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talvez não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signifique mais do que chamá-lo de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senhor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(com minúscula), o presente contexto contém alusões a Deus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como seu Pai, e a ele mesmo como Juiz, </w:t>
      </w:r>
      <w:r w:rsidR="00F82713" w:rsidRPr="003D6F47">
        <w:rPr>
          <w:rFonts w:ascii="Times New Roman" w:hAnsi="Times New Roman" w:cs="Times New Roman"/>
          <w:color w:val="000000"/>
        </w:rPr>
        <w:t>e, portanto,</w:t>
      </w:r>
      <w:r w:rsidRPr="003D6F47">
        <w:rPr>
          <w:rFonts w:ascii="Times New Roman" w:hAnsi="Times New Roman" w:cs="Times New Roman"/>
          <w:color w:val="000000"/>
        </w:rPr>
        <w:t xml:space="preserve"> parece implicar em algo mais. Depois de sua morte 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ressurreição, os cristãos primitivos certamente sabiam o que estavam fazendo, quando o chamavam de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Senhor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. Era um título divino, uma tradução da palavra judaica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Jeová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no grego do Velho Testamento.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Portanto, dentro dessa perspectiva, podemos dizer que isto constitui uma confissão exata, ortodoxa de Jesus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Cristo. Terceiro, é fervorosa, pois não é um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Senhor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frio ou formal, mas um </w:t>
      </w:r>
      <w:r w:rsidR="0055324F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Senhor, Senhor</w:t>
      </w:r>
      <w:r w:rsidR="0055324F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entusiástico,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como se o orador desejasse chamar a atenção para a força e o zelo de sua devoção.</w:t>
      </w:r>
    </w:p>
    <w:p w14:paraId="77E54FD7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6511AEC" w14:textId="6E2DD68F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Quarto ponto: é uma confissão pública. Não é uma declaração particular e pessoal de fidelidade a Jesus.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Alguns até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profetizaram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em nome de Cristo, chegando até a insinuar que pregaram em público com a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autoridade e a inspiração do próprio Jesus. Mais do que isto, a profissão de fé às vezes chega a ser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espetacular. A fim de destacar este ponto, Jesus cita os mais extremos exemplos de profissão de fé verbal, a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saber, o exercício de um ministério sobrenatural envolvendo profecia, exorcismo e milagres. O que essas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pessoas destacam ao falar com Cristo no dia do juízo é o nome pelo qual ministraram. Três vezes usaram-no,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sempre colocando-o em primeiro lugar para dar ênfase. Reivindicam que, em nome de Cristo, pública 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abertamente confessado, eles profetizaram, expeliram demônios e fizeram muitas obras maravilhosas. E não</w:t>
      </w:r>
      <w:r w:rsidR="00385F09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temos motivo para não acreditar nas suas reivindicações, pois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grandes sinais e prodígios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serão realizados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até mesmo pelos falsos Cristos e falsos profetas</w:t>
      </w:r>
      <w:r w:rsidR="00385F09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="00385F09" w:rsidRPr="00385F09">
        <w:rPr>
          <w:rFonts w:ascii="Times New Roman" w:hAnsi="Times New Roman" w:cs="Times New Roman"/>
          <w:color w:val="000000"/>
        </w:rPr>
        <w:t>Mt</w:t>
      </w:r>
      <w:proofErr w:type="spellEnd"/>
      <w:r w:rsidR="00385F09">
        <w:rPr>
          <w:rFonts w:ascii="Times New Roman" w:hAnsi="Times New Roman" w:cs="Times New Roman"/>
          <w:color w:val="000000"/>
        </w:rPr>
        <w:t xml:space="preserve"> </w:t>
      </w:r>
      <w:r w:rsidR="00385F09" w:rsidRPr="00385F09">
        <w:rPr>
          <w:rFonts w:ascii="Times New Roman" w:hAnsi="Times New Roman" w:cs="Times New Roman"/>
          <w:color w:val="000000"/>
        </w:rPr>
        <w:t>24:24;</w:t>
      </w:r>
      <w:r w:rsidR="00385F09">
        <w:rPr>
          <w:rFonts w:ascii="Times New Roman" w:hAnsi="Times New Roman" w:cs="Times New Roman"/>
          <w:color w:val="000000"/>
        </w:rPr>
        <w:t xml:space="preserve"> </w:t>
      </w:r>
      <w:r w:rsidR="00385F09" w:rsidRPr="00385F09">
        <w:rPr>
          <w:rFonts w:ascii="Times New Roman" w:hAnsi="Times New Roman" w:cs="Times New Roman"/>
          <w:color w:val="000000"/>
        </w:rPr>
        <w:t>2Ts</w:t>
      </w:r>
      <w:r w:rsidR="00385F09">
        <w:rPr>
          <w:rFonts w:ascii="Times New Roman" w:hAnsi="Times New Roman" w:cs="Times New Roman"/>
          <w:color w:val="000000"/>
        </w:rPr>
        <w:t xml:space="preserve"> </w:t>
      </w:r>
      <w:r w:rsidR="00385F09" w:rsidRPr="00385F09">
        <w:rPr>
          <w:rFonts w:ascii="Times New Roman" w:hAnsi="Times New Roman" w:cs="Times New Roman"/>
          <w:color w:val="000000"/>
        </w:rPr>
        <w:t>2:9,10.</w:t>
      </w:r>
      <w:r w:rsidR="00385F09">
        <w:rPr>
          <w:rFonts w:ascii="Times New Roman" w:hAnsi="Times New Roman" w:cs="Times New Roman"/>
          <w:color w:val="000000"/>
        </w:rPr>
        <w:t>)</w:t>
      </w:r>
      <w:r w:rsidRPr="003D6F47">
        <w:rPr>
          <w:rFonts w:ascii="Times New Roman" w:hAnsi="Times New Roman" w:cs="Times New Roman"/>
          <w:color w:val="000000"/>
        </w:rPr>
        <w:t>. Que profissão de fé cristã poderia ser melhor? Temos aqui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pessoas que chamam Jesus de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Senhor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com cortesia, ortodoxia e entusiasmo, em devoção particular 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ministério público. O que poderia haver de errado nisto? Em si, nada de mau. E, não obstante, tudo está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errado, porque são </w:t>
      </w:r>
      <w:r w:rsidRPr="003D6F47">
        <w:rPr>
          <w:rFonts w:ascii="Times New Roman" w:hAnsi="Times New Roman" w:cs="Times New Roman"/>
          <w:color w:val="000000"/>
        </w:rPr>
        <w:lastRenderedPageBreak/>
        <w:t>palavras que não contêm a verdade; é uma profissão de fé sem realidade. Não os salvará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no dia do juízo. Por isso, Jesus passa do que eles dizem e dirão para o que ele lhes dirá. Ele também fará uma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declaração solene. A palavra usada no versículo 23 é </w:t>
      </w:r>
      <w:proofErr w:type="spellStart"/>
      <w:r w:rsidRPr="003D6F47">
        <w:rPr>
          <w:rFonts w:ascii="Times New Roman" w:hAnsi="Times New Roman" w:cs="Times New Roman"/>
          <w:i/>
          <w:iCs/>
          <w:color w:val="000000"/>
        </w:rPr>
        <w:t>homologësö</w:t>
      </w:r>
      <w:proofErr w:type="spellEnd"/>
      <w:r w:rsidRPr="003D6F47">
        <w:rPr>
          <w:rFonts w:ascii="Times New Roman" w:hAnsi="Times New Roman" w:cs="Times New Roman"/>
          <w:color w:val="000000"/>
        </w:rPr>
        <w:t xml:space="preserve">,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confessarei</w:t>
      </w:r>
      <w:r w:rsidR="00385F09">
        <w:rPr>
          <w:rFonts w:ascii="Times New Roman" w:hAnsi="Times New Roman" w:cs="Times New Roman"/>
          <w:color w:val="000000"/>
          <w:lang w:val="x-none"/>
        </w:rPr>
        <w:t>”.</w:t>
      </w:r>
    </w:p>
    <w:p w14:paraId="109BF7AC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88F8C5B" w14:textId="6697316D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A confissão de Cristo será, como a deles, em público, mas diferente, porque será verdadeira. Ele lhes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dirigirá as terríveis palavras: Nunca vos conheci. Apartai-vos de mim, os que praticais a iniq</w:t>
      </w:r>
      <w:r w:rsidR="00F82713" w:rsidRPr="003D6F47">
        <w:rPr>
          <w:rFonts w:ascii="Times New Roman" w:hAnsi="Times New Roman" w:cs="Times New Roman"/>
          <w:color w:val="000000"/>
        </w:rPr>
        <w:t>u</w:t>
      </w:r>
      <w:r w:rsidRPr="003D6F47">
        <w:rPr>
          <w:rFonts w:ascii="Times New Roman" w:hAnsi="Times New Roman" w:cs="Times New Roman"/>
          <w:color w:val="000000"/>
        </w:rPr>
        <w:t>idade, pois,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embora tenham usado o nome dele livremente, Jesus não conhecia seus nomes.</w:t>
      </w:r>
    </w:p>
    <w:p w14:paraId="515011A4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96D1085" w14:textId="5A5082CA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A razão por que Jesus os rejeita é que a profissão de fé deles foi verbal, não moral. Era uma confissão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apenas de lábios, não de vida. Chamam a Jesus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Senhor, Senhor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, mas jamais se submeteram ao seu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senhorio, nem obedeceram à vontade de seu Pai </w:t>
      </w:r>
      <w:r w:rsidR="00F82713" w:rsidRPr="003D6F47">
        <w:rPr>
          <w:rFonts w:ascii="Times New Roman" w:hAnsi="Times New Roman" w:cs="Times New Roman"/>
          <w:color w:val="000000"/>
        </w:rPr>
        <w:t>Celeste</w:t>
      </w:r>
      <w:r w:rsidRPr="003D6F47">
        <w:rPr>
          <w:rFonts w:ascii="Times New Roman" w:hAnsi="Times New Roman" w:cs="Times New Roman"/>
          <w:color w:val="000000"/>
        </w:rPr>
        <w:t>. A versão de Lucas desta declaração é um tanto mais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forte: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85F09">
        <w:rPr>
          <w:rFonts w:ascii="Times New Roman" w:hAnsi="Times New Roman" w:cs="Times New Roman"/>
          <w:i/>
          <w:iCs/>
          <w:color w:val="000000"/>
        </w:rPr>
        <w:t>Por que me chamais, Senhor, Senhor, e não fazeis o que vos mando?</w:t>
      </w:r>
      <w:r w:rsidR="00385F09">
        <w:rPr>
          <w:rFonts w:ascii="Times New Roman" w:hAnsi="Times New Roman" w:cs="Times New Roman"/>
          <w:color w:val="000000"/>
          <w:lang w:val="x-none"/>
        </w:rPr>
        <w:t>” (</w:t>
      </w:r>
      <w:proofErr w:type="spellStart"/>
      <w:r w:rsidR="00385F09">
        <w:rPr>
          <w:rFonts w:ascii="Times New Roman" w:hAnsi="Times New Roman" w:cs="Times New Roman"/>
          <w:color w:val="000000"/>
          <w:lang w:val="x-none"/>
        </w:rPr>
        <w:t>Lc</w:t>
      </w:r>
      <w:proofErr w:type="spellEnd"/>
      <w:r w:rsidR="00385F09">
        <w:rPr>
          <w:rFonts w:ascii="Times New Roman" w:hAnsi="Times New Roman" w:cs="Times New Roman"/>
          <w:color w:val="000000"/>
          <w:lang w:val="x-none"/>
        </w:rPr>
        <w:t xml:space="preserve"> 6:46).</w:t>
      </w:r>
      <w:r w:rsidRPr="003D6F47">
        <w:rPr>
          <w:rFonts w:ascii="Times New Roman" w:hAnsi="Times New Roman" w:cs="Times New Roman"/>
          <w:color w:val="000000"/>
        </w:rPr>
        <w:t xml:space="preserve"> A diferença vital está entre 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dizer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e o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fazer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. A razão por que Cristo, o Juiz, os banirá de sua presença é que são malfeitores, praticam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a iniquidade. Podem alegar feitos grandiosos em seu ministério; mas, no seu comportamento diário, as suas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obras não são boas, são más. Que valor teria para tais pessoas tomar o nome de Cristo nos lábios? Como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Paulo expressou alguns anos depois: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Aparte-se da injustiça todo aquele que professa o nome de Cristo</w:t>
      </w:r>
      <w:r w:rsidR="00385F09">
        <w:rPr>
          <w:rFonts w:ascii="Times New Roman" w:hAnsi="Times New Roman" w:cs="Times New Roman"/>
          <w:color w:val="000000"/>
          <w:lang w:val="x-none"/>
        </w:rPr>
        <w:t>” (2Tm 2:19)</w:t>
      </w:r>
      <w:r w:rsidRPr="003D6F47">
        <w:rPr>
          <w:rFonts w:ascii="Times New Roman" w:hAnsi="Times New Roman" w:cs="Times New Roman"/>
          <w:color w:val="000000"/>
        </w:rPr>
        <w:t>.</w:t>
      </w:r>
    </w:p>
    <w:p w14:paraId="7AD39577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9311C40" w14:textId="34C3B3F0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Nós que, atualmente, declaramos ser cristãos, fizemos uma profissão de fé em Jesus, particularmente na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conversão e publicamente no batismo. Damos a impressão de honrar a Jesus, chamando-o de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o Senhor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ou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nosso Senhor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. Recitamos o credo na igreja e cantamos expressivos hinos de devoção a Cristo. Até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exercemos uma variedade de ministérios em seu nome. Mas ele não fica impressionado com nossas palavras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piedosas e ortodoxas. Ele continua pedindo evidências de nossa sinceridade em boas obras de obediência.</w:t>
      </w:r>
    </w:p>
    <w:p w14:paraId="4C0DC082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C1595BF" w14:textId="10E2135E" w:rsidR="004D1EFA" w:rsidRPr="00385F09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385F09">
        <w:rPr>
          <w:rFonts w:ascii="Times New Roman" w:hAnsi="Times New Roman" w:cs="Times New Roman"/>
          <w:b/>
          <w:bCs/>
          <w:color w:val="000000"/>
        </w:rPr>
        <w:t>2. O perigo de um conhecimento meramente intelectual (vs. 24-27)</w:t>
      </w:r>
    </w:p>
    <w:p w14:paraId="61AA0B51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D41E2E5" w14:textId="0187EEBE" w:rsidR="004D1EFA" w:rsidRPr="00385F09" w:rsidRDefault="00385F09" w:rsidP="00385F09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85F0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24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Todo aquele, pois, que ouve estas minhas palavras e as </w:t>
      </w:r>
      <w:r w:rsidR="00F82713" w:rsidRPr="00385F09">
        <w:rPr>
          <w:rFonts w:ascii="Times New Roman" w:hAnsi="Times New Roman" w:cs="Times New Roman"/>
          <w:color w:val="000000"/>
          <w:sz w:val="22"/>
          <w:szCs w:val="22"/>
        </w:rPr>
        <w:t>prática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, será comparado a um homem</w:t>
      </w:r>
      <w:r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prudente, que edificou a sua casa sobre a rocha;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25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e caiu a chuva, transbordaram os rios, sopraram os</w:t>
      </w:r>
      <w:r w:rsidR="00F82713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ventos e deram com ímpeto contra aquela casa, que não caiu, porque fora edificada sobre a rocha.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26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E todo</w:t>
      </w:r>
      <w:r w:rsidR="00F82713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aquele que ouve estas minhas palavras e não as pratica, será comparado a um homem insensato, que</w:t>
      </w:r>
      <w:r w:rsidR="00F82713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edificou a sua casa sobre a areia;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27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e caiu a chuva, transbordaram os rios, sopraram os ventos e deram com</w:t>
      </w:r>
      <w:r w:rsidR="00F82713" w:rsidRPr="00385F0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4D1EFA" w:rsidRPr="00385F09">
        <w:rPr>
          <w:rFonts w:ascii="Times New Roman" w:hAnsi="Times New Roman" w:cs="Times New Roman"/>
          <w:color w:val="000000"/>
          <w:sz w:val="22"/>
          <w:szCs w:val="22"/>
        </w:rPr>
        <w:t>ímpeto contra aquela casa, e ela desabou, sendo grande a sua ruína.</w:t>
      </w:r>
    </w:p>
    <w:p w14:paraId="4901BA18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96161A2" w14:textId="552CF7F2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 xml:space="preserve">Enquanto, no parágrafo anterior, o contraste era entre o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dizer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e o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fazer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, o contraste agora é entre 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ouvir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e o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fazer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. De um lado, diz Jesus, está a pessoa que ouve estas minhas palavras e as </w:t>
      </w:r>
      <w:r w:rsidR="00F82713" w:rsidRPr="003D6F47">
        <w:rPr>
          <w:rFonts w:ascii="Times New Roman" w:hAnsi="Times New Roman" w:cs="Times New Roman"/>
          <w:color w:val="000000"/>
        </w:rPr>
        <w:t>prática</w:t>
      </w:r>
      <w:r w:rsidRPr="003D6F47">
        <w:rPr>
          <w:rFonts w:ascii="Times New Roman" w:hAnsi="Times New Roman" w:cs="Times New Roman"/>
          <w:color w:val="000000"/>
        </w:rPr>
        <w:t xml:space="preserve"> (v. 24)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e, do outro, a pessoa que ouve estas minhas palavras e não </w:t>
      </w:r>
      <w:r w:rsidR="00F82713" w:rsidRPr="003D6F47">
        <w:rPr>
          <w:rFonts w:ascii="Times New Roman" w:hAnsi="Times New Roman" w:cs="Times New Roman"/>
          <w:color w:val="000000"/>
        </w:rPr>
        <w:t>as práticas</w:t>
      </w:r>
      <w:r w:rsidRPr="003D6F47">
        <w:rPr>
          <w:rFonts w:ascii="Times New Roman" w:hAnsi="Times New Roman" w:cs="Times New Roman"/>
          <w:color w:val="000000"/>
        </w:rPr>
        <w:t xml:space="preserve"> (v. 26). Depois ele ilustra o contraste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entre os seus ouvintes, o obediente e o desobediente, com a sua conhecida parábola dos dois construtores, 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homem sábio que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cavou</w:t>
      </w:r>
      <w:r w:rsidR="00385F09">
        <w:rPr>
          <w:rFonts w:ascii="Times New Roman" w:hAnsi="Times New Roman" w:cs="Times New Roman"/>
          <w:color w:val="000000"/>
          <w:lang w:val="x-none"/>
        </w:rPr>
        <w:t>” (</w:t>
      </w:r>
      <w:proofErr w:type="spellStart"/>
      <w:r w:rsidR="00385F09">
        <w:rPr>
          <w:rFonts w:ascii="Times New Roman" w:hAnsi="Times New Roman" w:cs="Times New Roman"/>
          <w:color w:val="000000"/>
          <w:lang w:val="x-none"/>
        </w:rPr>
        <w:t>Lc</w:t>
      </w:r>
      <w:proofErr w:type="spellEnd"/>
      <w:r w:rsidR="00385F09">
        <w:rPr>
          <w:rFonts w:ascii="Times New Roman" w:hAnsi="Times New Roman" w:cs="Times New Roman"/>
          <w:color w:val="000000"/>
          <w:lang w:val="x-none"/>
        </w:rPr>
        <w:t xml:space="preserve"> 6:48)</w:t>
      </w:r>
      <w:r w:rsidRPr="003D6F47">
        <w:rPr>
          <w:rFonts w:ascii="Times New Roman" w:hAnsi="Times New Roman" w:cs="Times New Roman"/>
          <w:color w:val="000000"/>
        </w:rPr>
        <w:t xml:space="preserve"> e construiu a sua casa sobre a rocha, e o tolo que não queria se aborrecer com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alicerces e contentou-se em edificar sobre a areia. Enquanto os dois prosseguiam com a sua construção, um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observador casual não poderia perceber qualquer diferença entre as duas casas, pois a única diferença estava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nos alicerces, e estes não podiam ser vistos. Só depois que uma tempestade se desencadeou sobre as duas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casas </w:t>
      </w:r>
      <w:r w:rsidRPr="003D6F47">
        <w:rPr>
          <w:rFonts w:ascii="Times New Roman" w:hAnsi="Times New Roman" w:cs="Times New Roman"/>
          <w:color w:val="000000"/>
        </w:rPr>
        <w:lastRenderedPageBreak/>
        <w:t xml:space="preserve">com grande ferocidade: </w:t>
      </w:r>
      <w:r w:rsidR="00385F09">
        <w:rPr>
          <w:rFonts w:ascii="Times New Roman" w:hAnsi="Times New Roman" w:cs="Times New Roman"/>
          <w:color w:val="000000"/>
          <w:lang w:val="x-none"/>
        </w:rPr>
        <w:t>“</w:t>
      </w:r>
      <w:r w:rsidRPr="00385F09">
        <w:rPr>
          <w:rFonts w:ascii="Times New Roman" w:hAnsi="Times New Roman" w:cs="Times New Roman"/>
          <w:i/>
          <w:iCs/>
          <w:color w:val="000000"/>
        </w:rPr>
        <w:t>chuva no telhado, rio nos alicerces, vento nas paredes</w:t>
      </w:r>
      <w:r w:rsidR="00385F09">
        <w:rPr>
          <w:rFonts w:ascii="Times New Roman" w:hAnsi="Times New Roman" w:cs="Times New Roman"/>
          <w:color w:val="000000"/>
          <w:lang w:val="x-none"/>
        </w:rPr>
        <w:t>”</w:t>
      </w:r>
      <w:r w:rsidR="00385F09">
        <w:rPr>
          <w:rStyle w:val="Refdenotaderodap"/>
          <w:rFonts w:ascii="Times New Roman" w:hAnsi="Times New Roman" w:cs="Times New Roman"/>
          <w:color w:val="000000"/>
          <w:lang w:val="x-none"/>
        </w:rPr>
        <w:footnoteReference w:id="4"/>
      </w:r>
      <w:r w:rsidRPr="003D6F47">
        <w:rPr>
          <w:rFonts w:ascii="Times New Roman" w:hAnsi="Times New Roman" w:cs="Times New Roman"/>
          <w:color w:val="000000"/>
        </w:rPr>
        <w:t>, foi revelada a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diferença fatal e fundamental. A casa edificada sobre a rocha resistiu à tormenta, </w:t>
      </w:r>
      <w:r w:rsidR="00F82713" w:rsidRPr="003D6F47">
        <w:rPr>
          <w:rFonts w:ascii="Times New Roman" w:hAnsi="Times New Roman" w:cs="Times New Roman"/>
          <w:color w:val="000000"/>
        </w:rPr>
        <w:t>enquanto</w:t>
      </w:r>
      <w:r w:rsidRPr="003D6F47">
        <w:rPr>
          <w:rFonts w:ascii="Times New Roman" w:hAnsi="Times New Roman" w:cs="Times New Roman"/>
          <w:color w:val="000000"/>
        </w:rPr>
        <w:t xml:space="preserve"> a casa sobre a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areia ficou irreparavelmente arruinada.</w:t>
      </w:r>
    </w:p>
    <w:p w14:paraId="3C0675D0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DFF7AF7" w14:textId="6137790A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 xml:space="preserve">Da mesma maneira, os cristãos professos (os genuínos e os espúrios) </w:t>
      </w:r>
      <w:r w:rsidR="00F82713" w:rsidRPr="003D6F47">
        <w:rPr>
          <w:rFonts w:ascii="Times New Roman" w:hAnsi="Times New Roman" w:cs="Times New Roman"/>
          <w:color w:val="000000"/>
        </w:rPr>
        <w:t>frequentemente</w:t>
      </w:r>
      <w:r w:rsidRPr="003D6F47">
        <w:rPr>
          <w:rFonts w:ascii="Times New Roman" w:hAnsi="Times New Roman" w:cs="Times New Roman"/>
          <w:color w:val="000000"/>
        </w:rPr>
        <w:t xml:space="preserve"> se parecem. Não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podemos facilmente distinguir qual é qual. Ambos parecem estar edificando vidas cristãs. Jesus não está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fazendo uma comparação entre cristãos e não-cristãos que não fizeram nenhuma profissão de fé. Pelo contrário,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o que é comum aos dois edificadores espirituais é que eles ouvem estas minhas palavras. Portanto, os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dois são membros da comunidade cristã visível. Ambos </w:t>
      </w:r>
      <w:r w:rsidR="00F82713" w:rsidRPr="003D6F47">
        <w:rPr>
          <w:rFonts w:ascii="Times New Roman" w:hAnsi="Times New Roman" w:cs="Times New Roman"/>
          <w:color w:val="000000"/>
        </w:rPr>
        <w:t>leem</w:t>
      </w:r>
      <w:r w:rsidRPr="003D6F47">
        <w:rPr>
          <w:rFonts w:ascii="Times New Roman" w:hAnsi="Times New Roman" w:cs="Times New Roman"/>
          <w:color w:val="000000"/>
        </w:rPr>
        <w:t xml:space="preserve"> a Bíblia, vão à igreja, ouvem os sermões 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compram literatura cristã. O motivo por que tão </w:t>
      </w:r>
      <w:r w:rsidR="00F82713" w:rsidRPr="003D6F47">
        <w:rPr>
          <w:rFonts w:ascii="Times New Roman" w:hAnsi="Times New Roman" w:cs="Times New Roman"/>
          <w:color w:val="000000"/>
        </w:rPr>
        <w:t>frequentemente</w:t>
      </w:r>
      <w:r w:rsidRPr="003D6F47">
        <w:rPr>
          <w:rFonts w:ascii="Times New Roman" w:hAnsi="Times New Roman" w:cs="Times New Roman"/>
          <w:color w:val="000000"/>
        </w:rPr>
        <w:t xml:space="preserve"> não podemos diferençar um do outro é que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os alicerces de suas vidas estão ocultos aos nossos olhos. A verdadeira pergunta não é se ouvem os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ensinamentos de Cristo (nem mesmo se os respeitam ou </w:t>
      </w:r>
      <w:r w:rsidR="00F82713" w:rsidRPr="003D6F47">
        <w:rPr>
          <w:rFonts w:ascii="Times New Roman" w:hAnsi="Times New Roman" w:cs="Times New Roman"/>
          <w:color w:val="000000"/>
        </w:rPr>
        <w:t>creem</w:t>
      </w:r>
      <w:r w:rsidRPr="003D6F47">
        <w:rPr>
          <w:rFonts w:ascii="Times New Roman" w:hAnsi="Times New Roman" w:cs="Times New Roman"/>
          <w:color w:val="000000"/>
        </w:rPr>
        <w:t xml:space="preserve"> neles), mas se fazem o que ouvem. Apenas</w:t>
      </w:r>
      <w:r w:rsidR="00DB1A91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uma tempestade revelará a verdade. Às vezes, uma tempestade de crises ou calamidades revela que tipo de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pessoa somos, pois </w:t>
      </w:r>
      <w:r w:rsidR="00DB1A91">
        <w:rPr>
          <w:rFonts w:ascii="Times New Roman" w:hAnsi="Times New Roman" w:cs="Times New Roman"/>
          <w:color w:val="000000"/>
          <w:lang w:val="x-none"/>
        </w:rPr>
        <w:t>“</w:t>
      </w:r>
      <w:r w:rsidRPr="00DB1A91">
        <w:rPr>
          <w:rFonts w:ascii="Times New Roman" w:hAnsi="Times New Roman" w:cs="Times New Roman"/>
          <w:i/>
          <w:iCs/>
          <w:color w:val="000000"/>
        </w:rPr>
        <w:t>a verdadeira piedade não se distingue totalmente de sua imitação até que venham as</w:t>
      </w:r>
      <w:r w:rsidR="00F82713" w:rsidRPr="00DB1A9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B1A91">
        <w:rPr>
          <w:rFonts w:ascii="Times New Roman" w:hAnsi="Times New Roman" w:cs="Times New Roman"/>
          <w:i/>
          <w:iCs/>
          <w:color w:val="000000"/>
        </w:rPr>
        <w:t>provações</w:t>
      </w:r>
      <w:r w:rsidR="00DB1A91">
        <w:rPr>
          <w:rFonts w:ascii="Times New Roman" w:hAnsi="Times New Roman" w:cs="Times New Roman"/>
          <w:color w:val="000000"/>
          <w:lang w:val="x-none"/>
        </w:rPr>
        <w:t>”</w:t>
      </w:r>
      <w:r w:rsidR="00DB1A91">
        <w:rPr>
          <w:rStyle w:val="Refdenotaderodap"/>
          <w:rFonts w:ascii="Times New Roman" w:hAnsi="Times New Roman" w:cs="Times New Roman"/>
          <w:color w:val="000000"/>
          <w:lang w:val="x-none"/>
        </w:rPr>
        <w:footnoteReference w:id="5"/>
      </w:r>
      <w:r w:rsidRPr="003D6F47">
        <w:rPr>
          <w:rFonts w:ascii="Times New Roman" w:hAnsi="Times New Roman" w:cs="Times New Roman"/>
          <w:color w:val="000000"/>
        </w:rPr>
        <w:t>. Caso contrário, a tempestade do dia do juízo certamente o fará.</w:t>
      </w:r>
    </w:p>
    <w:p w14:paraId="439C2B87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6884E53" w14:textId="664F9ED9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A verdade sobre a qual Jesus está insistindo nestes dois parágrafos finais do Sermão é que nem um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conhecimento intelectual dele, nem uma profissão de fé verbal, embora ambos sejam essenciais em si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mesmos, podem substituir a obediência. A pergunta não é se nós dizemos coisas bonitas, polidas, ortodoxas 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entusiásticas sobre Jesus; nem se ouvimos suas palavras, se prestamos atenção, se estudamos, se meditamos 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se memorizamos até empanturrar as nossas mentes com os seus ensinamentos, mas se nós fazemos o que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dizemos e se fazemos o que sabemos; em outras palavras, se o senhorio do Jesus que professamos é a grande</w:t>
      </w:r>
      <w:r w:rsidR="00F82713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realidade de nossa vida.</w:t>
      </w:r>
    </w:p>
    <w:p w14:paraId="178DDF33" w14:textId="77777777" w:rsidR="00F82713" w:rsidRPr="003D6F47" w:rsidRDefault="00F82713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1A80E28" w14:textId="231035B9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Isto não é, naturalmente, ensinar que o caminho da salvação, ou o caminho para entrar no reino dos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céus (v. 21), é pelas boas obras da obediência, pois todo o Novo Testamento oferece salvação apenas pela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graça pura de Deus mediante a fé. O que Jesus está destacando, entretanto, é que aqueles que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verdadeiramente ouvem o Evangelho e professam a sua fé sempre hão de obedecê-lo, expressando a sua fé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em suas obras. Os apóstolos de Jesus jamais se esqueceram deste ensinamento. Isto se vê em suas cartas. 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primeira carta de João, por exemplo, alerta muito quanto aos perigos de uma profissão de fé verbal: </w:t>
      </w:r>
      <w:r w:rsidR="00C00AD4">
        <w:rPr>
          <w:rFonts w:ascii="Times New Roman" w:hAnsi="Times New Roman" w:cs="Times New Roman"/>
          <w:color w:val="000000"/>
          <w:lang w:val="x-none"/>
        </w:rPr>
        <w:t>“</w:t>
      </w:r>
      <w:r w:rsidRPr="00C00AD4">
        <w:rPr>
          <w:rFonts w:ascii="Times New Roman" w:hAnsi="Times New Roman" w:cs="Times New Roman"/>
          <w:i/>
          <w:iCs/>
          <w:color w:val="000000"/>
        </w:rPr>
        <w:t>Se</w:t>
      </w:r>
      <w:r w:rsidR="003D6F47" w:rsidRPr="00C00AD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00AD4">
        <w:rPr>
          <w:rFonts w:ascii="Times New Roman" w:hAnsi="Times New Roman" w:cs="Times New Roman"/>
          <w:i/>
          <w:iCs/>
          <w:color w:val="000000"/>
        </w:rPr>
        <w:t>dissermos que mantemos comunhão com ele, e andarmos nas trevas, mentimos</w:t>
      </w:r>
      <w:r w:rsidR="00C00AD4" w:rsidRPr="00C00AD4">
        <w:rPr>
          <w:rFonts w:ascii="Times New Roman" w:hAnsi="Times New Roman" w:cs="Times New Roman"/>
          <w:i/>
          <w:iCs/>
          <w:color w:val="000000"/>
        </w:rPr>
        <w:t>.</w:t>
      </w:r>
      <w:r w:rsidRPr="00C00AD4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C00AD4" w:rsidRPr="00C00AD4">
        <w:rPr>
          <w:rFonts w:ascii="Times New Roman" w:hAnsi="Times New Roman" w:cs="Times New Roman"/>
          <w:i/>
          <w:iCs/>
          <w:color w:val="000000"/>
        </w:rPr>
        <w:t>(</w:t>
      </w:r>
      <w:r w:rsidRPr="00C00AD4">
        <w:rPr>
          <w:rFonts w:ascii="Times New Roman" w:hAnsi="Times New Roman" w:cs="Times New Roman"/>
          <w:i/>
          <w:iCs/>
          <w:color w:val="000000"/>
        </w:rPr>
        <w:t>...</w:t>
      </w:r>
      <w:r w:rsidR="00C00AD4" w:rsidRPr="00C00AD4">
        <w:rPr>
          <w:rFonts w:ascii="Times New Roman" w:hAnsi="Times New Roman" w:cs="Times New Roman"/>
          <w:i/>
          <w:iCs/>
          <w:color w:val="000000"/>
        </w:rPr>
        <w:t>)</w:t>
      </w:r>
      <w:r w:rsidRPr="00C00AD4">
        <w:rPr>
          <w:rFonts w:ascii="Times New Roman" w:hAnsi="Times New Roman" w:cs="Times New Roman"/>
          <w:i/>
          <w:iCs/>
          <w:color w:val="000000"/>
        </w:rPr>
        <w:t xml:space="preserve"> Aquele que diz: Eu o</w:t>
      </w:r>
      <w:r w:rsidR="003D6F47" w:rsidRPr="00C00AD4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C00AD4">
        <w:rPr>
          <w:rFonts w:ascii="Times New Roman" w:hAnsi="Times New Roman" w:cs="Times New Roman"/>
          <w:i/>
          <w:iCs/>
          <w:color w:val="000000"/>
        </w:rPr>
        <w:t>conheço, e não guarda os seus mandamentos, é mentiroso</w:t>
      </w:r>
      <w:r w:rsidR="00C00AD4">
        <w:rPr>
          <w:rFonts w:ascii="Times New Roman" w:hAnsi="Times New Roman" w:cs="Times New Roman"/>
          <w:color w:val="000000"/>
          <w:lang w:val="x-none"/>
        </w:rPr>
        <w:t>”</w:t>
      </w:r>
      <w:r w:rsidR="00C00AD4">
        <w:rPr>
          <w:rStyle w:val="Refdenotaderodap"/>
          <w:rFonts w:ascii="Times New Roman" w:hAnsi="Times New Roman" w:cs="Times New Roman"/>
          <w:color w:val="000000"/>
          <w:lang w:val="x-none"/>
        </w:rPr>
        <w:footnoteReference w:id="6"/>
      </w:r>
      <w:r w:rsidRPr="003D6F47">
        <w:rPr>
          <w:rFonts w:ascii="Times New Roman" w:hAnsi="Times New Roman" w:cs="Times New Roman"/>
          <w:color w:val="000000"/>
        </w:rPr>
        <w:t>. A carta de Tiago, por sua vez, avisa dos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perigos de um conhecimento intelectual. Uma ortodoxia árida não pode salvar, ele escreve, mas apenas uma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fé que se traduza em boas obras; por isso, devemos ser </w:t>
      </w:r>
      <w:r w:rsidR="00C00AD4">
        <w:rPr>
          <w:rFonts w:ascii="Times New Roman" w:hAnsi="Times New Roman" w:cs="Times New Roman"/>
          <w:color w:val="000000"/>
          <w:lang w:val="x-none"/>
        </w:rPr>
        <w:t>“</w:t>
      </w:r>
      <w:r w:rsidRPr="00C00AD4">
        <w:rPr>
          <w:rFonts w:ascii="Times New Roman" w:hAnsi="Times New Roman" w:cs="Times New Roman"/>
          <w:i/>
          <w:iCs/>
          <w:color w:val="000000"/>
        </w:rPr>
        <w:t>praticantes da palavra, e não somente ouvintes</w:t>
      </w:r>
      <w:r w:rsidR="00C00AD4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.</w:t>
      </w:r>
      <w:r w:rsidR="00C00AD4">
        <w:rPr>
          <w:rStyle w:val="Refdenotaderodap"/>
          <w:rFonts w:ascii="Times New Roman" w:hAnsi="Times New Roman" w:cs="Times New Roman"/>
          <w:color w:val="000000"/>
        </w:rPr>
        <w:footnoteReference w:id="7"/>
      </w:r>
    </w:p>
    <w:p w14:paraId="5C21B83C" w14:textId="77777777" w:rsidR="003D6F47" w:rsidRPr="003D6F47" w:rsidRDefault="003D6F47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6D05BE4" w14:textId="701987C0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Ao aplicar este ensinamento a nós mesmos, precisamos considerar que a Bíblia é um livro perigoso de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se ler, e que a igreja é uma comunidade perigosa de se juntar, pois na leitura </w:t>
      </w:r>
      <w:r w:rsidRPr="003D6F47">
        <w:rPr>
          <w:rFonts w:ascii="Times New Roman" w:hAnsi="Times New Roman" w:cs="Times New Roman"/>
          <w:color w:val="000000"/>
        </w:rPr>
        <w:lastRenderedPageBreak/>
        <w:t>da Bíblia ouvimos as palavras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de Cristo, e quando nos filiamos à igreja dizemos que cremos em Cristo. Como resultado, pertencemos a um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grupo descrito por Jesus como aqueles que ouvem os seus ensinamentos e o chamam de Senhor. Nossa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filiação, portanto, coloca sobre nós a séria responsabilidade de garantir que aquilo que sabemos e dizemos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está sendo traduzido no que fazemos.</w:t>
      </w:r>
    </w:p>
    <w:p w14:paraId="1E79CC16" w14:textId="77777777" w:rsidR="003D6F47" w:rsidRPr="003D6F47" w:rsidRDefault="003D6F47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296BD13" w14:textId="5376C9CC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Assim, o Sermão termina com a mesma nota de escolha radical da qual estivemos conscientes o tempo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todo. Jesus não coloca diante de seus discípulos uma lista de regras éticas fáceis de obedecer, mas um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conjunto de valores e ideais que é totalmente diferente do caminho do mundo. Ele nos incentiva 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renunciarmos a cultura secular prevalecente em favor da contracultura cristã. Repetidas vezes, durante o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nosso estudo, ouvimos o chamado que faz ao seu povo para ser diferente de todos os outros. A primeira vez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que isto tornou-se claro foi na responsabilidade que nos transmitiu de sermos </w:t>
      </w:r>
      <w:r w:rsidR="00EB454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o sal da terra</w:t>
      </w:r>
      <w:r w:rsidR="00EB454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 xml:space="preserve"> e </w:t>
      </w:r>
      <w:r w:rsidR="00EB4549">
        <w:rPr>
          <w:rFonts w:ascii="Times New Roman" w:hAnsi="Times New Roman" w:cs="Times New Roman"/>
          <w:color w:val="000000"/>
          <w:lang w:val="x-none"/>
        </w:rPr>
        <w:t>“</w:t>
      </w:r>
      <w:r w:rsidRPr="003D6F47">
        <w:rPr>
          <w:rFonts w:ascii="Times New Roman" w:hAnsi="Times New Roman" w:cs="Times New Roman"/>
          <w:color w:val="000000"/>
        </w:rPr>
        <w:t>a luz do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mundo</w:t>
      </w:r>
      <w:r w:rsidR="00EB4549">
        <w:rPr>
          <w:rFonts w:ascii="Times New Roman" w:hAnsi="Times New Roman" w:cs="Times New Roman"/>
          <w:color w:val="000000"/>
          <w:lang w:val="x-none"/>
        </w:rPr>
        <w:t>”</w:t>
      </w:r>
      <w:r w:rsidRPr="003D6F47">
        <w:rPr>
          <w:rFonts w:ascii="Times New Roman" w:hAnsi="Times New Roman" w:cs="Times New Roman"/>
          <w:color w:val="000000"/>
        </w:rPr>
        <w:t>, pois estas metáforas colocam as comunidades cristã e não-cristã em posições antagônicas, por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serem reconhecida e fundamentalmente distintas. O mundo é como alimento podre, cheio de bactérias que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causam a sua desintegração; os discípulos de Jesus têm de ser o seu sal, evitando o apodrecimento. O mundo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é um lugar escuro e triste, sem sal, mergulhado nas trevas; os discípulos de Jesus têm de ser a luz do mundo,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dissipando suas trevas e sua melancolia.</w:t>
      </w:r>
    </w:p>
    <w:p w14:paraId="2D4329A2" w14:textId="77777777" w:rsidR="003D6F47" w:rsidRPr="003D6F47" w:rsidRDefault="003D6F47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E7E4D3B" w14:textId="70E542C2" w:rsidR="004D1EFA" w:rsidRPr="003D6F47" w:rsidRDefault="004D1EFA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D6F47">
        <w:rPr>
          <w:rFonts w:ascii="Times New Roman" w:hAnsi="Times New Roman" w:cs="Times New Roman"/>
          <w:color w:val="000000"/>
        </w:rPr>
        <w:t>A partir de então, os padrões opostos são pitorescamente descritos, e o caminho de Jesus é</w:t>
      </w:r>
      <w:r w:rsidR="00EB4549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recomendado. Nossa justiça tem de ser mais profunda porque atinge também o nosso coração, e o nosso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amor tem de ser mais amplo porque abrange também nossos inimigos. Na piedade devemos evitar 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ostentação dos hipócritas e, na oração, a verbosidade dos pagãos. Por outro lado, nossas dádivas, nossa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oração e nosso jejum têm de ser verdadeiros, sem comprometer a nossa integridade cristã. Devemos escolher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para ser nosso tesouro algo que dure por toda a eternidade, que não se desintegre na terra; e por senhor devemos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escolher a Deus, não o dinheiro e as propriedades. Quanto às nossas ambições (aquilo que preocupa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nossas mentes), não a nossa própria segurança material, mas a propagação do governo e da justiça de Deus</w:t>
      </w:r>
      <w:r w:rsidR="00EB4549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no mundo. Em lugar de nos conformarmos com este mundo, quer na forma dos fariseus religiosos, ou dos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pagãos irreligiosos, somos chamados por Jesus a imitar o nosso Pai </w:t>
      </w:r>
      <w:r w:rsidR="003D6F47" w:rsidRPr="003D6F47">
        <w:rPr>
          <w:rFonts w:ascii="Times New Roman" w:hAnsi="Times New Roman" w:cs="Times New Roman"/>
          <w:color w:val="000000"/>
        </w:rPr>
        <w:t>Celeste</w:t>
      </w:r>
      <w:r w:rsidRPr="003D6F47">
        <w:rPr>
          <w:rFonts w:ascii="Times New Roman" w:hAnsi="Times New Roman" w:cs="Times New Roman"/>
          <w:color w:val="000000"/>
        </w:rPr>
        <w:t>. Ele é um pacificador. E ele ama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até mesmo os ingratos e egoístas. Por isso devemos copiá-lo, e não aos homens. Só então provaremos que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verdadeiramente somos seus filhos e filhas (5:9, 44-48). Então vem a alternativa de seguir a multidão ou 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nosso Pai que está nos céus, ser como a cana agitada pelos ventos da opinião pública ou ser dirigido pela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Palavra de Deus, pela revelação do seu caráter e pela sua vontade. E o propósito principal do Sermão do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Monte é apresentar-nos esta alternativa, defrontando-nos, assim, com a necessidade indispensável da escolha.</w:t>
      </w:r>
    </w:p>
    <w:p w14:paraId="27CF365B" w14:textId="77777777" w:rsidR="003D6F47" w:rsidRPr="003D6F47" w:rsidRDefault="003D6F47" w:rsidP="003D6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28F29BF" w14:textId="234226AD" w:rsidR="004073A4" w:rsidRPr="003D6F47" w:rsidRDefault="004D1EFA" w:rsidP="003D6F47">
      <w:pPr>
        <w:autoSpaceDE w:val="0"/>
        <w:autoSpaceDN w:val="0"/>
        <w:adjustRightInd w:val="0"/>
        <w:jc w:val="both"/>
      </w:pPr>
      <w:r w:rsidRPr="003D6F47">
        <w:rPr>
          <w:rFonts w:ascii="Times New Roman" w:hAnsi="Times New Roman" w:cs="Times New Roman"/>
          <w:color w:val="000000"/>
        </w:rPr>
        <w:t>É por isso que a conclusão do Sermão é tão apropriada: Jesus esboçando os dois caminhos (o estreito e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o largo) e os dois edifícios (sobre a rocha e sobre a areia). Seria impossível exagerar a importância da escolha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entre os dois, considerando que um deles leva à vida, </w:t>
      </w:r>
      <w:r w:rsidR="003D6F47" w:rsidRPr="003D6F47">
        <w:rPr>
          <w:rFonts w:ascii="Times New Roman" w:hAnsi="Times New Roman" w:cs="Times New Roman"/>
          <w:color w:val="000000"/>
        </w:rPr>
        <w:t>enquanto</w:t>
      </w:r>
      <w:r w:rsidRPr="003D6F47">
        <w:rPr>
          <w:rFonts w:ascii="Times New Roman" w:hAnsi="Times New Roman" w:cs="Times New Roman"/>
          <w:color w:val="000000"/>
        </w:rPr>
        <w:t xml:space="preserve"> o outro termina na destruição, e que um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 xml:space="preserve">edifício é seguro </w:t>
      </w:r>
      <w:r w:rsidR="003D6F47" w:rsidRPr="003D6F47">
        <w:rPr>
          <w:rFonts w:ascii="Times New Roman" w:hAnsi="Times New Roman" w:cs="Times New Roman"/>
          <w:color w:val="000000"/>
        </w:rPr>
        <w:t>enquanto</w:t>
      </w:r>
      <w:r w:rsidRPr="003D6F47">
        <w:rPr>
          <w:rFonts w:ascii="Times New Roman" w:hAnsi="Times New Roman" w:cs="Times New Roman"/>
          <w:color w:val="000000"/>
        </w:rPr>
        <w:t xml:space="preserve"> o outro é derrubado pela calamidade. Muito mais notável que a escolha de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uma carreira profissional ou de um companheiro para a vida ê a escolha da própria vida. Qual a estrada que</w:t>
      </w:r>
      <w:r w:rsidR="003D6F47" w:rsidRPr="003D6F47">
        <w:rPr>
          <w:rFonts w:ascii="Times New Roman" w:hAnsi="Times New Roman" w:cs="Times New Roman"/>
          <w:color w:val="000000"/>
        </w:rPr>
        <w:t xml:space="preserve"> </w:t>
      </w:r>
      <w:r w:rsidRPr="003D6F47">
        <w:rPr>
          <w:rFonts w:ascii="Times New Roman" w:hAnsi="Times New Roman" w:cs="Times New Roman"/>
          <w:color w:val="000000"/>
        </w:rPr>
        <w:t>vamos tomar para viajar? Sobre que alicerce vamos começar a construir?</w:t>
      </w:r>
    </w:p>
    <w:sectPr w:rsidR="004073A4" w:rsidRPr="003D6F47" w:rsidSect="004C5FA3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71339" w14:textId="77777777" w:rsidR="000738FA" w:rsidRDefault="000738FA" w:rsidP="003D6F47">
      <w:r>
        <w:separator/>
      </w:r>
    </w:p>
  </w:endnote>
  <w:endnote w:type="continuationSeparator" w:id="0">
    <w:p w14:paraId="3673CB38" w14:textId="77777777" w:rsidR="000738FA" w:rsidRDefault="000738FA" w:rsidP="003D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434672597"/>
      <w:docPartObj>
        <w:docPartGallery w:val="Page Numbers (Bottom of Page)"/>
        <w:docPartUnique/>
      </w:docPartObj>
    </w:sdtPr>
    <w:sdtContent>
      <w:p w14:paraId="21A6A721" w14:textId="1E858742" w:rsidR="003D6F47" w:rsidRDefault="003D6F47" w:rsidP="00330CD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740F292" w14:textId="77777777" w:rsidR="003D6F47" w:rsidRDefault="003D6F47" w:rsidP="003D6F4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359001246"/>
      <w:docPartObj>
        <w:docPartGallery w:val="Page Numbers (Bottom of Page)"/>
        <w:docPartUnique/>
      </w:docPartObj>
    </w:sdtPr>
    <w:sdtContent>
      <w:p w14:paraId="6EF3F011" w14:textId="50355A5F" w:rsidR="003D6F47" w:rsidRDefault="003D6F47" w:rsidP="00330CD9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741F4701" w14:textId="77777777" w:rsidR="003D6F47" w:rsidRDefault="003D6F47" w:rsidP="003D6F4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6693" w14:textId="77777777" w:rsidR="000738FA" w:rsidRDefault="000738FA" w:rsidP="003D6F47">
      <w:r>
        <w:separator/>
      </w:r>
    </w:p>
  </w:footnote>
  <w:footnote w:type="continuationSeparator" w:id="0">
    <w:p w14:paraId="7C7BDF90" w14:textId="77777777" w:rsidR="000738FA" w:rsidRDefault="000738FA" w:rsidP="003D6F47">
      <w:r>
        <w:continuationSeparator/>
      </w:r>
    </w:p>
  </w:footnote>
  <w:footnote w:id="1">
    <w:p w14:paraId="5EF62B8B" w14:textId="5F002BD2" w:rsidR="003D6F47" w:rsidRDefault="003D6F47" w:rsidP="0055324F">
      <w:pPr>
        <w:pStyle w:val="Textodenotaderodap"/>
        <w:spacing w:before="60" w:after="60"/>
        <w:jc w:val="both"/>
      </w:pPr>
      <w:r>
        <w:rPr>
          <w:rStyle w:val="Refdenotaderodap"/>
        </w:rPr>
        <w:footnoteRef/>
      </w:r>
      <w:r>
        <w:t xml:space="preserve"> Pen</w:t>
      </w:r>
      <w:r>
        <w:rPr>
          <w:lang w:val="x-none"/>
        </w:rPr>
        <w:t>último capítulo do livro “</w:t>
      </w:r>
      <w:r w:rsidRPr="003D6F47">
        <w:rPr>
          <w:i/>
          <w:iCs/>
          <w:lang w:val="x-none"/>
        </w:rPr>
        <w:t>Contracultura Cristã</w:t>
      </w:r>
      <w:r>
        <w:rPr>
          <w:i/>
          <w:iCs/>
          <w:lang w:val="x-none"/>
        </w:rPr>
        <w:t xml:space="preserve"> – A mensagem do Sermão do Monte</w:t>
      </w:r>
      <w:r>
        <w:rPr>
          <w:lang w:val="x-none"/>
        </w:rPr>
        <w:t xml:space="preserve">”, de John R. W. </w:t>
      </w:r>
      <w:proofErr w:type="spellStart"/>
      <w:r>
        <w:rPr>
          <w:lang w:val="x-none"/>
        </w:rPr>
        <w:t>Stott</w:t>
      </w:r>
      <w:proofErr w:type="spellEnd"/>
      <w:r>
        <w:rPr>
          <w:lang w:val="x-none"/>
        </w:rPr>
        <w:t>.</w:t>
      </w:r>
    </w:p>
  </w:footnote>
  <w:footnote w:id="2">
    <w:p w14:paraId="0735CE32" w14:textId="7A9B6557" w:rsidR="00AC4391" w:rsidRDefault="00AC4391" w:rsidP="0055324F">
      <w:pPr>
        <w:pStyle w:val="Textodenotaderodap"/>
        <w:spacing w:before="60" w:after="60"/>
        <w:jc w:val="both"/>
      </w:pPr>
      <w:r>
        <w:rPr>
          <w:rStyle w:val="Refdenotaderodap"/>
        </w:rPr>
        <w:footnoteRef/>
      </w:r>
      <w:r>
        <w:t xml:space="preserve"> RYLE,</w:t>
      </w:r>
      <w:r w:rsidR="0055324F">
        <w:t xml:space="preserve"> </w:t>
      </w:r>
      <w:r>
        <w:t>J.</w:t>
      </w:r>
      <w:r w:rsidR="0055324F">
        <w:t xml:space="preserve"> </w:t>
      </w:r>
      <w:r>
        <w:t xml:space="preserve">C. </w:t>
      </w:r>
      <w:proofErr w:type="spellStart"/>
      <w:r>
        <w:t>Expository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Gospels de J. C. Ryle (1856: edição de aniversário de Matthew </w:t>
      </w:r>
      <w:proofErr w:type="spellStart"/>
      <w:r>
        <w:t>and</w:t>
      </w:r>
      <w:proofErr w:type="spellEnd"/>
      <w:r>
        <w:t xml:space="preserve"> Mark,</w:t>
      </w:r>
      <w:r>
        <w:t xml:space="preserve"> </w:t>
      </w:r>
      <w:proofErr w:type="spellStart"/>
      <w:r>
        <w:t>Zondervan</w:t>
      </w:r>
      <w:proofErr w:type="spellEnd"/>
      <w:r>
        <w:t>)</w:t>
      </w:r>
      <w:r>
        <w:rPr>
          <w:lang w:val="x-none"/>
        </w:rPr>
        <w:t>.</w:t>
      </w:r>
    </w:p>
  </w:footnote>
  <w:footnote w:id="3">
    <w:p w14:paraId="1A4EFC40" w14:textId="271EE0F8" w:rsidR="00AC4391" w:rsidRDefault="00AC4391" w:rsidP="0055324F">
      <w:pPr>
        <w:pStyle w:val="Textodenotaderodap"/>
        <w:spacing w:before="60" w:after="60"/>
      </w:pPr>
      <w:r>
        <w:rPr>
          <w:rStyle w:val="Refdenotaderodap"/>
        </w:rPr>
        <w:footnoteRef/>
      </w:r>
      <w:r>
        <w:t xml:space="preserve"> </w:t>
      </w:r>
      <w:r>
        <w:t>TASKER, R.V.G. Evangelho Segundo Mateus. Vida Nova e Mundo Crist</w:t>
      </w:r>
      <w:r>
        <w:rPr>
          <w:lang w:val="x-none"/>
        </w:rPr>
        <w:t>ão, 1980.</w:t>
      </w:r>
    </w:p>
  </w:footnote>
  <w:footnote w:id="4">
    <w:p w14:paraId="396D2E8C" w14:textId="0C66D36E" w:rsidR="00385F09" w:rsidRPr="00DB1A91" w:rsidRDefault="00385F09" w:rsidP="00DB1A91">
      <w:pPr>
        <w:autoSpaceDE w:val="0"/>
        <w:autoSpaceDN w:val="0"/>
        <w:adjustRightInd w:val="0"/>
        <w:spacing w:before="60" w:after="60"/>
        <w:jc w:val="both"/>
        <w:rPr>
          <w:rFonts w:cstheme="minorHAnsi"/>
          <w:sz w:val="20"/>
          <w:szCs w:val="20"/>
          <w:lang w:val="en-US"/>
        </w:rPr>
      </w:pPr>
      <w:r w:rsidRPr="00DB1A91">
        <w:rPr>
          <w:rStyle w:val="Refdenotaderodap"/>
          <w:rFonts w:cstheme="minorHAnsi"/>
          <w:sz w:val="20"/>
          <w:szCs w:val="20"/>
        </w:rPr>
        <w:footnoteRef/>
      </w:r>
      <w:r w:rsidRPr="00DB1A91">
        <w:rPr>
          <w:rFonts w:cstheme="minorHAnsi"/>
          <w:sz w:val="20"/>
          <w:szCs w:val="20"/>
          <w:lang w:val="en-US"/>
        </w:rPr>
        <w:t xml:space="preserve"> </w:t>
      </w:r>
      <w:r w:rsidRPr="00DB1A91">
        <w:rPr>
          <w:rFonts w:cstheme="minorHAnsi"/>
          <w:sz w:val="20"/>
          <w:szCs w:val="20"/>
          <w:lang w:val="en-US"/>
        </w:rPr>
        <w:t xml:space="preserve">Commentary on the Synoptic Gospels de A. B. Bruce, </w:t>
      </w:r>
      <w:proofErr w:type="spellStart"/>
      <w:r w:rsidRPr="00DB1A91">
        <w:rPr>
          <w:rFonts w:cstheme="minorHAnsi"/>
          <w:sz w:val="20"/>
          <w:szCs w:val="20"/>
          <w:lang w:val="en-US"/>
        </w:rPr>
        <w:t>na</w:t>
      </w:r>
      <w:proofErr w:type="spellEnd"/>
      <w:r w:rsidRPr="00DB1A9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DB1A91">
        <w:rPr>
          <w:rFonts w:cstheme="minorHAnsi"/>
          <w:sz w:val="20"/>
          <w:szCs w:val="20"/>
          <w:lang w:val="en-US"/>
        </w:rPr>
        <w:t>série</w:t>
      </w:r>
      <w:proofErr w:type="spellEnd"/>
      <w:r w:rsidRPr="00DB1A91">
        <w:rPr>
          <w:rFonts w:cstheme="minorHAnsi"/>
          <w:sz w:val="20"/>
          <w:szCs w:val="20"/>
          <w:lang w:val="en-US"/>
        </w:rPr>
        <w:t xml:space="preserve"> The Expositor's Greek Testament, </w:t>
      </w:r>
      <w:proofErr w:type="spellStart"/>
      <w:r w:rsidRPr="00DB1A91">
        <w:rPr>
          <w:rFonts w:cstheme="minorHAnsi"/>
          <w:sz w:val="20"/>
          <w:szCs w:val="20"/>
          <w:lang w:val="en-US"/>
        </w:rPr>
        <w:t>editada</w:t>
      </w:r>
      <w:proofErr w:type="spellEnd"/>
      <w:r w:rsidRPr="00DB1A91">
        <w:rPr>
          <w:rFonts w:cstheme="minorHAnsi"/>
          <w:sz w:val="20"/>
          <w:szCs w:val="20"/>
          <w:lang w:val="en-US"/>
        </w:rPr>
        <w:t xml:space="preserve"> </w:t>
      </w:r>
      <w:r w:rsidRPr="00DB1A91">
        <w:rPr>
          <w:rFonts w:cstheme="minorHAnsi"/>
          <w:sz w:val="20"/>
          <w:szCs w:val="20"/>
          <w:lang w:val="en-US"/>
        </w:rPr>
        <w:t>por W. Robertson Nicholl (Hodder, 1897)</w:t>
      </w:r>
      <w:r w:rsidRPr="00DB1A91">
        <w:rPr>
          <w:rFonts w:cstheme="minorHAnsi"/>
          <w:sz w:val="20"/>
          <w:szCs w:val="20"/>
          <w:lang w:val="en-US"/>
        </w:rPr>
        <w:t xml:space="preserve">. </w:t>
      </w:r>
    </w:p>
  </w:footnote>
  <w:footnote w:id="5">
    <w:p w14:paraId="4C321A77" w14:textId="0BCAD1F3" w:rsidR="00DB1A91" w:rsidRPr="00DB1A91" w:rsidRDefault="00DB1A91" w:rsidP="00DB1A91">
      <w:pPr>
        <w:pStyle w:val="Textodenotaderodap"/>
        <w:spacing w:before="60" w:after="60"/>
        <w:jc w:val="both"/>
        <w:rPr>
          <w:rFonts w:cstheme="minorHAnsi"/>
          <w:lang w:val="en-US"/>
        </w:rPr>
      </w:pPr>
      <w:r w:rsidRPr="00DB1A91">
        <w:rPr>
          <w:rStyle w:val="Refdenotaderodap"/>
          <w:rFonts w:cstheme="minorHAnsi"/>
        </w:rPr>
        <w:footnoteRef/>
      </w:r>
      <w:r w:rsidRPr="00DB1A91">
        <w:rPr>
          <w:rFonts w:cstheme="minorHAnsi"/>
          <w:lang w:val="en-US"/>
        </w:rPr>
        <w:t xml:space="preserve"> </w:t>
      </w:r>
      <w:r w:rsidRPr="00DB1A91">
        <w:rPr>
          <w:rFonts w:cstheme="minorHAnsi"/>
          <w:lang w:val="en-US"/>
        </w:rPr>
        <w:t xml:space="preserve">Commentary on a Harmony of the Evangelists, Matthew, </w:t>
      </w:r>
      <w:proofErr w:type="gramStart"/>
      <w:r w:rsidRPr="00DB1A91">
        <w:rPr>
          <w:rFonts w:cstheme="minorHAnsi"/>
          <w:lang w:val="en-US"/>
        </w:rPr>
        <w:t>Mark</w:t>
      </w:r>
      <w:proofErr w:type="gramEnd"/>
      <w:r w:rsidRPr="00DB1A91">
        <w:rPr>
          <w:rFonts w:cstheme="minorHAnsi"/>
          <w:lang w:val="en-US"/>
        </w:rPr>
        <w:t xml:space="preserve"> and Luke, I, de João Calvino (1558:</w:t>
      </w:r>
      <w:r>
        <w:rPr>
          <w:rFonts w:cstheme="minorHAnsi"/>
          <w:lang w:val="en-US"/>
        </w:rPr>
        <w:t xml:space="preserve"> </w:t>
      </w:r>
      <w:proofErr w:type="spellStart"/>
      <w:r w:rsidRPr="00DB1A91">
        <w:rPr>
          <w:rFonts w:cstheme="minorHAnsi"/>
          <w:lang w:val="en-US"/>
        </w:rPr>
        <w:t>traduzido</w:t>
      </w:r>
      <w:proofErr w:type="spellEnd"/>
      <w:r w:rsidRPr="00DB1A91">
        <w:rPr>
          <w:rFonts w:cstheme="minorHAnsi"/>
          <w:lang w:val="en-US"/>
        </w:rPr>
        <w:t xml:space="preserve"> por William Pringle, 1845: Eerdmans, </w:t>
      </w:r>
      <w:proofErr w:type="spellStart"/>
      <w:r>
        <w:rPr>
          <w:rFonts w:cstheme="minorHAnsi"/>
          <w:lang w:val="en-US"/>
        </w:rPr>
        <w:t>sd</w:t>
      </w:r>
      <w:proofErr w:type="spellEnd"/>
      <w:r w:rsidRPr="00DB1A91">
        <w:rPr>
          <w:rFonts w:cstheme="minorHAnsi"/>
          <w:lang w:val="en-US"/>
        </w:rPr>
        <w:t>)</w:t>
      </w:r>
    </w:p>
  </w:footnote>
  <w:footnote w:id="6">
    <w:p w14:paraId="74F42C32" w14:textId="249A4CE6" w:rsidR="00C00AD4" w:rsidRDefault="00C00AD4" w:rsidP="00C00AD4">
      <w:pPr>
        <w:pStyle w:val="Textodenotaderodap"/>
        <w:spacing w:before="60" w:after="60"/>
        <w:jc w:val="both"/>
      </w:pPr>
      <w:r>
        <w:rPr>
          <w:rStyle w:val="Refdenotaderodap"/>
        </w:rPr>
        <w:footnoteRef/>
      </w:r>
      <w:r>
        <w:t xml:space="preserve"> 1Jo 1:6; 2:4.</w:t>
      </w:r>
    </w:p>
  </w:footnote>
  <w:footnote w:id="7">
    <w:p w14:paraId="2820E69B" w14:textId="1AD592C8" w:rsidR="00C00AD4" w:rsidRDefault="00C00AD4" w:rsidP="00C00AD4">
      <w:pPr>
        <w:pStyle w:val="Textodenotaderodap"/>
        <w:spacing w:before="60" w:after="60"/>
        <w:jc w:val="both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C00AD4">
        <w:t>Tg</w:t>
      </w:r>
      <w:proofErr w:type="spellEnd"/>
      <w:r w:rsidRPr="00C00AD4">
        <w:t xml:space="preserve"> 1:22-25; 2:14-20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FA"/>
    <w:rsid w:val="00055386"/>
    <w:rsid w:val="000738FA"/>
    <w:rsid w:val="001A007C"/>
    <w:rsid w:val="00214F06"/>
    <w:rsid w:val="00385F09"/>
    <w:rsid w:val="003D6F47"/>
    <w:rsid w:val="004C5FA3"/>
    <w:rsid w:val="004D1EFA"/>
    <w:rsid w:val="0055324F"/>
    <w:rsid w:val="006F7F7E"/>
    <w:rsid w:val="00AC4391"/>
    <w:rsid w:val="00C00AD4"/>
    <w:rsid w:val="00DB1A91"/>
    <w:rsid w:val="00EB4549"/>
    <w:rsid w:val="00F82713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648FCD"/>
  <w15:chartTrackingRefBased/>
  <w15:docId w15:val="{F60E4343-6E52-5642-A2B9-26DD7E3C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6F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6F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6F47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3D6F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6F47"/>
  </w:style>
  <w:style w:type="character" w:styleId="Nmerodepgina">
    <w:name w:val="page number"/>
    <w:basedOn w:val="Fontepargpadro"/>
    <w:uiPriority w:val="99"/>
    <w:semiHidden/>
    <w:unhideWhenUsed/>
    <w:rsid w:val="003D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AF7A9-1A0E-3247-B010-B7E5F6A9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2475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8</cp:revision>
  <dcterms:created xsi:type="dcterms:W3CDTF">2021-08-31T15:13:00Z</dcterms:created>
  <dcterms:modified xsi:type="dcterms:W3CDTF">2021-08-31T17:47:00Z</dcterms:modified>
</cp:coreProperties>
</file>